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color w:val="ffffff"/>
          <w:sz w:val="32"/>
          <w:szCs w:val="32"/>
          <w:highlight w:val="black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ffffff"/>
            <w:sz w:val="32"/>
            <w:szCs w:val="32"/>
            <w:highlight w:val="black"/>
            <w:vertAlign w:val="baseline"/>
            <w:rtl w:val="0"/>
          </w:rPr>
          <w:t xml:space="preserve">Modèle de mandat de prélèvement SEPA Inter-Entreprises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010"/>
        </w:tabs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010"/>
        </w:tabs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Référence Unique de Mandat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RUM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) - maximum 35 caractères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Type de paiement (récurrent ou ponctuel)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 signant ce formulaire de mandat de prélèvement, nous ……………………………….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autorisons ……………………………….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à envoyer des instructions à notre banque pour débiter notre compte, et notre banque à débiter notre compte conformément aux instructions du ……………………………….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 mandat est dédié aux prélèvements SEPA. Le débiteur peut se faire rembourser par sa banque un montant prélevé sur un compte bancaire, selon les délais suivants 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60" w:before="60" w:lineRule="auto"/>
        <w:ind w:left="72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Jusqu’à 8 semaines à partir de la date de débit, pour un prélèvement autorisé,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60" w:before="60" w:lineRule="auto"/>
        <w:ind w:left="72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Jusqu’à 13 mois, en cas de prélèvement non autorisé.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Informations sur le créancier :</w:t>
      </w:r>
    </w:p>
    <w:tbl>
      <w:tblPr>
        <w:tblStyle w:val="Table2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Créancier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N° d’Identifiant Créancier SEPA (ICS)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Adresse du créancier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Code postal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Ville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Pays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Informations sur le débiteur :</w:t>
      </w:r>
    </w:p>
    <w:tbl>
      <w:tblPr>
        <w:tblStyle w:val="Table3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Débiteur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Adresse du débiteur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Code postal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Ville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Pays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 de la banque du débiteur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Adresse de la banque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Code BIC ou SWIFT de la banque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IBAN du débiteur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Signature du mandat de prélèvement :</w:t>
      </w:r>
    </w:p>
    <w:tbl>
      <w:tblPr>
        <w:tblStyle w:val="Table4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0"/>
        <w:gridCol w:w="3071"/>
        <w:gridCol w:w="3071"/>
        <w:tblGridChange w:id="0">
          <w:tblGrid>
            <w:gridCol w:w="3070"/>
            <w:gridCol w:w="3071"/>
            <w:gridCol w:w="307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Lieu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Date du jour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Signature du débiteur et tampon de la société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……………………………….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3">
    <w:name w:val="Titre 3"/>
    <w:basedOn w:val="Normal"/>
    <w:next w:val="Titre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r-FR" w:val="fr-FR"/>
    </w:rPr>
  </w:style>
  <w:style w:type="character" w:styleId="Lienhypertexte">
    <w:name w:val="Lien hypertexte"/>
    <w:next w:val="Lienhypertext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re3Car">
    <w:name w:val="Titre 3 Car"/>
    <w:next w:val="Titre3Car"/>
    <w:autoRedefine w:val="0"/>
    <w:hidden w:val="0"/>
    <w:qFormat w:val="0"/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Accentuation">
    <w:name w:val="Accentuation"/>
    <w:next w:val="Accentuation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Élevé">
    <w:name w:val="Élevé"/>
    <w:next w:val="Élev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ndatsepa.fr/interentreprises-b2b" TargetMode="Externa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HhnYZtfv9vpf9VOHPBMUx9tUSQ==">AMUW2mUUmp88zoAWRHyhOZ8Rn+qNGvgVHSMX8MBLLIdykWesII9TYnEgaez3UqLFnCTX7neKue75rvzQAHZHIm8RSOe9no+7ilqcJ76jt5b62r4e5dSrd5Q=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2021-06-25T10:24:00Z</dcterms:created>
  <dc:creator>WK13196</dc:creator>
</cp:coreProperties>
</file>